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26" w:rsidRPr="00B65E26" w:rsidRDefault="00B65E26" w:rsidP="00B65E26">
      <w:pPr>
        <w:pStyle w:val="1"/>
      </w:pPr>
      <w:r w:rsidRPr="00B65E26">
        <w:t>Усовершенствовать селекцию и генетические исследования сельхозживотных сможет Бурятская ГСХА</w:t>
      </w:r>
    </w:p>
    <w:p w:rsidR="00B65E26" w:rsidRDefault="00B65E26" w:rsidP="00B65E26">
      <w:pPr>
        <w:pStyle w:val="a3"/>
      </w:pPr>
      <w:r w:rsidRPr="00B65E26">
        <w:t> Анна Медведева</w:t>
      </w:r>
    </w:p>
    <w:p w:rsidR="00B65E26" w:rsidRPr="00B65E26" w:rsidRDefault="00B65E26" w:rsidP="00B65E26">
      <w:pPr>
        <w:pStyle w:val="a3"/>
      </w:pPr>
    </w:p>
    <w:p w:rsidR="00B65E26" w:rsidRPr="00B65E26" w:rsidRDefault="00B65E26" w:rsidP="00B65E26">
      <w:pPr>
        <w:pStyle w:val="a3"/>
      </w:pPr>
      <w:r w:rsidRPr="00B65E26">
        <w:t>Технологический факультет БГСХА стал одним из пяти победителей конкурсного отбора на приобретение научного и научно-технического оборудования для осуществления технологических проектов от МНОЦ «Байкал». В результате, факультет получит исследовательский комплекс «Лаборатория генетики животных» до конца текущего года.</w:t>
      </w:r>
    </w:p>
    <w:p w:rsidR="00B65E26" w:rsidRPr="00B65E26" w:rsidRDefault="00B65E26" w:rsidP="00B65E26">
      <w:pPr>
        <w:pStyle w:val="a3"/>
      </w:pPr>
      <w:r w:rsidRPr="00B65E26">
        <w:t>Данный комплекс исследований позволит проводить подробный анализ молекулярной ДНК животных, обитающих в зоне Сибири и Дальнего Востока. В рамках исследований будут проанализированы молекулярные характеристики крупного рогатого скота, овец, лошадей, свиней, коз, яков, верблюдов, северных оленей, маралов, рыб, пчел и других видов.</w:t>
      </w:r>
    </w:p>
    <w:p w:rsidR="00B65E26" w:rsidRPr="00B65E26" w:rsidRDefault="00B65E26" w:rsidP="00B65E26">
      <w:pPr>
        <w:pStyle w:val="a3"/>
      </w:pPr>
      <w:r w:rsidRPr="00B65E26">
        <w:t>Комплекс обладает широким спектром возможностей и позволит проводить молекулярно-генетические исследования, направленные на выявление механизмов образования характеристик продуктивности и устойчивости сельскохозяйственных животных к заболеваниям, а также определение их происхождения, сообщает декан технологического факультета, Владимир Ачитуев</w:t>
      </w:r>
    </w:p>
    <w:p w:rsidR="00B65E26" w:rsidRPr="00B65E26" w:rsidRDefault="00B65E26" w:rsidP="00B65E26">
      <w:pPr>
        <w:pStyle w:val="a3"/>
      </w:pPr>
      <w:r w:rsidRPr="00B65E26">
        <w:t>Исследовательский комплекс «Лаборатория генетики животных» включает следующее:</w:t>
      </w:r>
    </w:p>
    <w:p w:rsidR="00B65E26" w:rsidRPr="00B65E26" w:rsidRDefault="00B65E26" w:rsidP="00B65E26">
      <w:pPr>
        <w:pStyle w:val="a3"/>
      </w:pPr>
      <w:r w:rsidRPr="00B65E26">
        <w:t>- системы для цифровой ПЦР DropDX-2044HT, которая позволит определять абсолютные концентрации нуклеиновых кислот без использования калибровочных кривых.</w:t>
      </w:r>
    </w:p>
    <w:p w:rsidR="00B65E26" w:rsidRPr="00B65E26" w:rsidRDefault="00B65E26" w:rsidP="00B65E26">
      <w:pPr>
        <w:pStyle w:val="a3"/>
      </w:pPr>
      <w:r w:rsidRPr="00B65E26">
        <w:t>- многофункциональной высокопроизводительной центрифуги 1248R c охлаждением, которая может развивать ускорение до 16 582 g (12 000 об/мин).</w:t>
      </w:r>
    </w:p>
    <w:p w:rsidR="00B65E26" w:rsidRPr="00B65E26" w:rsidRDefault="00B65E26" w:rsidP="00B65E26">
      <w:pPr>
        <w:pStyle w:val="a3"/>
      </w:pPr>
      <w:r w:rsidRPr="00B65E26">
        <w:t>- спектрофотометра Nano-500, позволяющего проводить широкий спектр измерений, для которых обычно требуется несколько приборов.</w:t>
      </w:r>
    </w:p>
    <w:p w:rsidR="00B65E26" w:rsidRPr="00B65E26" w:rsidRDefault="00B65E26" w:rsidP="00B65E26">
      <w:pPr>
        <w:pStyle w:val="a3"/>
      </w:pPr>
      <w:r w:rsidRPr="00B65E26">
        <w:t>– Данное оборудование позволит проводить анализы для создания новых заводских линий при формировании стада бурятского типа калмыцкой породы, бурятской грубошерстной породы овец и будет использовано в учебном процессе, - говорит Владимир Ачитуев. </w:t>
      </w:r>
    </w:p>
    <w:p w:rsidR="00B65E26" w:rsidRPr="00B65E26" w:rsidRDefault="00B65E26" w:rsidP="00B65E26">
      <w:pPr>
        <w:pStyle w:val="a3"/>
      </w:pPr>
      <w:r w:rsidRPr="00B65E26">
        <w:t>В ноябре декан посетил РГАУ - МСХА им. К.А. Тимирязева и ознакомился с работой учебно-научного центра "Сервисная лаборатория комплексного анализа химических соединений".</w:t>
      </w:r>
    </w:p>
    <w:p w:rsidR="0026289E" w:rsidRDefault="00B65E26" w:rsidP="00B65E26">
      <w:pPr>
        <w:pStyle w:val="a3"/>
      </w:pPr>
      <w:r w:rsidRPr="00B65E26">
        <w:t>Использование исследовательского комплекса "Лаборатория генетики животных" позволит расширить научные возможности будущих студентов направления подготовки 36.03.02 "Зоотехния" и поможет сформировать необходимые компетенции и навыки.</w:t>
      </w:r>
    </w:p>
    <w:p w:rsidR="00B65E26" w:rsidRDefault="00B65E26" w:rsidP="00B65E26">
      <w:pPr>
        <w:pStyle w:val="a3"/>
      </w:pPr>
    </w:p>
    <w:p w:rsidR="00B65E26" w:rsidRPr="00B65E26" w:rsidRDefault="00B65E26" w:rsidP="00B65E26">
      <w:pPr>
        <w:pStyle w:val="a3"/>
      </w:pPr>
      <w:r>
        <w:t xml:space="preserve">АГРО XXI. - 2023. - </w:t>
      </w:r>
      <w:r>
        <w:rPr>
          <w:b/>
          <w:bCs w:val="0"/>
        </w:rPr>
        <w:t>29 ноября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"https://www.agroxxi.ru/zhurnal-agroxxi/novosti-nauki/usovershenstvovat-selekciyu-i-geneticheskie-issledovanija-selhozzhivotnyh-smozhet-burjatskaja-gsha.html" </w:instrText>
      </w:r>
      <w:r>
        <w:fldChar w:fldCharType="separate"/>
      </w:r>
      <w:r>
        <w:rPr>
          <w:rStyle w:val="a4"/>
        </w:rPr>
        <w:t>https://www.agroxxi.ru/zhurnal-agroxxi/novosti-nauki/usovershenstvovat-selekciyu-i-geneticheskie-issledovanija-selhozzhivotnyh-smozhet-burjatskaja-gsha.html</w:t>
      </w:r>
      <w:r>
        <w:fldChar w:fldCharType="end"/>
      </w:r>
    </w:p>
    <w:sectPr w:rsidR="00B65E26" w:rsidRPr="00B6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26"/>
    <w:rsid w:val="0026289E"/>
    <w:rsid w:val="003A319C"/>
    <w:rsid w:val="003F2ACB"/>
    <w:rsid w:val="0073435D"/>
    <w:rsid w:val="00813039"/>
    <w:rsid w:val="008E045F"/>
    <w:rsid w:val="00A77786"/>
    <w:rsid w:val="00B65E2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B65E26"/>
    <w:rPr>
      <w:color w:val="0000FF"/>
      <w:u w:val="single"/>
    </w:rPr>
  </w:style>
  <w:style w:type="character" w:customStyle="1" w:styleId="me-2">
    <w:name w:val="me-2"/>
    <w:basedOn w:val="a0"/>
    <w:rsid w:val="00B65E26"/>
  </w:style>
  <w:style w:type="paragraph" w:styleId="a5">
    <w:name w:val="Normal (Web)"/>
    <w:basedOn w:val="a"/>
    <w:uiPriority w:val="99"/>
    <w:semiHidden/>
    <w:unhideWhenUsed/>
    <w:rsid w:val="00B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B65E26"/>
    <w:rPr>
      <w:color w:val="0000FF"/>
      <w:u w:val="single"/>
    </w:rPr>
  </w:style>
  <w:style w:type="character" w:customStyle="1" w:styleId="me-2">
    <w:name w:val="me-2"/>
    <w:basedOn w:val="a0"/>
    <w:rsid w:val="00B65E26"/>
  </w:style>
  <w:style w:type="paragraph" w:styleId="a5">
    <w:name w:val="Normal (Web)"/>
    <w:basedOn w:val="a"/>
    <w:uiPriority w:val="99"/>
    <w:semiHidden/>
    <w:unhideWhenUsed/>
    <w:rsid w:val="00B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261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2023-12-01T04:57:00Z</dcterms:created>
  <dcterms:modified xsi:type="dcterms:W3CDTF">2023-12-01T05:00:00Z</dcterms:modified>
</cp:coreProperties>
</file>